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30" w:rsidRDefault="00AE2030" w:rsidP="00AE2030">
      <w:pPr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E2030" w:rsidRPr="0076292F" w:rsidTr="00373530">
        <w:tc>
          <w:tcPr>
            <w:tcW w:w="3369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Категория ТЖС</w:t>
            </w:r>
          </w:p>
        </w:tc>
        <w:tc>
          <w:tcPr>
            <w:tcW w:w="6202" w:type="dxa"/>
          </w:tcPr>
          <w:p w:rsidR="00AE2030" w:rsidRPr="0076292F" w:rsidRDefault="00AE2030" w:rsidP="003735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</w:tc>
      </w:tr>
      <w:tr w:rsidR="00AE2030" w:rsidRPr="0076292F" w:rsidTr="00373530">
        <w:tc>
          <w:tcPr>
            <w:tcW w:w="3369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 w:rsidRPr="0076292F">
              <w:rPr>
                <w:rFonts w:eastAsia="Calibri"/>
                <w:sz w:val="26"/>
                <w:szCs w:val="26"/>
              </w:rPr>
              <w:t xml:space="preserve">ребёнок, оставшийся без попечения родителей </w:t>
            </w:r>
          </w:p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 w:rsidR="00AE2030" w:rsidRPr="0076292F" w:rsidRDefault="00AE2030" w:rsidP="003735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92F">
              <w:rPr>
                <w:rFonts w:ascii="Times New Roman" w:hAnsi="Times New Roman" w:cs="Times New Roman"/>
                <w:sz w:val="26"/>
                <w:szCs w:val="26"/>
              </w:rPr>
              <w:t>для детей-сирот и детей, оставшихся без попечения родителей:</w:t>
            </w:r>
          </w:p>
          <w:p w:rsidR="00AE2030" w:rsidRPr="0076292F" w:rsidRDefault="00AE2030" w:rsidP="00AE203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92F">
              <w:rPr>
                <w:rFonts w:ascii="Times New Roman" w:hAnsi="Times New Roman" w:cs="Times New Roman"/>
                <w:sz w:val="26"/>
                <w:szCs w:val="26"/>
              </w:rPr>
              <w:t>копию решения органа местного самоуправления об установлении опеки или попечительства и назначении ежемесячной выплаты на содержание ребенка, находящегося под опекой (попечительством) (представляется в случае подачи заявления опекуном (попечителем));</w:t>
            </w:r>
          </w:p>
          <w:p w:rsidR="00AE2030" w:rsidRPr="0076292F" w:rsidRDefault="00AE2030" w:rsidP="00AE203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92F">
              <w:rPr>
                <w:rFonts w:ascii="Times New Roman" w:hAnsi="Times New Roman" w:cs="Times New Roman"/>
                <w:sz w:val="26"/>
                <w:szCs w:val="26"/>
              </w:rPr>
              <w:t>копию договора о передаче ребенка (детей) на воспитание в приемную семью (представляется в случае подачи заявления приемным родителем);</w:t>
            </w:r>
          </w:p>
          <w:p w:rsidR="00AE2030" w:rsidRPr="0076292F" w:rsidRDefault="00AE2030" w:rsidP="00AE203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92F">
              <w:rPr>
                <w:rFonts w:ascii="Times New Roman" w:hAnsi="Times New Roman" w:cs="Times New Roman"/>
                <w:sz w:val="26"/>
                <w:szCs w:val="26"/>
              </w:rPr>
              <w:t>копию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      </w:r>
          </w:p>
          <w:p w:rsidR="00AE2030" w:rsidRPr="0076292F" w:rsidRDefault="00AE2030" w:rsidP="00AE203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92F">
              <w:rPr>
                <w:rFonts w:ascii="Times New Roman" w:hAnsi="Times New Roman" w:cs="Times New Roman"/>
                <w:sz w:val="26"/>
                <w:szCs w:val="26"/>
              </w:rPr>
              <w:t>копию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      </w:r>
          </w:p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E2030" w:rsidRPr="0076292F" w:rsidTr="00373530">
        <w:tc>
          <w:tcPr>
            <w:tcW w:w="3369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 w:rsidRPr="0076292F">
              <w:rPr>
                <w:rFonts w:eastAsia="Calibri"/>
                <w:sz w:val="26"/>
                <w:szCs w:val="26"/>
              </w:rPr>
              <w:t xml:space="preserve">ребёнок, проживающий в малоимущей семье </w:t>
            </w:r>
          </w:p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 w:rsidRPr="0076292F">
              <w:rPr>
                <w:sz w:val="26"/>
                <w:szCs w:val="26"/>
              </w:rPr>
              <w:t xml:space="preserve">для детей из малоимущих семей - справку, выданную органом социальной защиты населения по месту жительства (в соответствии с </w:t>
            </w:r>
            <w:hyperlink r:id="rId5" w:history="1">
              <w:r w:rsidRPr="0076292F">
                <w:rPr>
                  <w:rStyle w:val="a4"/>
                  <w:sz w:val="26"/>
                  <w:szCs w:val="26"/>
                </w:rPr>
                <w:t>частью 2 статьи 41</w:t>
              </w:r>
            </w:hyperlink>
            <w:r w:rsidRPr="0076292F">
              <w:rPr>
                <w:sz w:val="26"/>
                <w:szCs w:val="26"/>
              </w:rPr>
              <w:t xml:space="preserve"> Закона Ярославской области от 19 декабря 2008 г. N 65-з "Социальный кодекс Ярославской области");</w:t>
            </w:r>
          </w:p>
        </w:tc>
      </w:tr>
      <w:tr w:rsidR="00AE2030" w:rsidRPr="0076292F" w:rsidTr="00373530">
        <w:tc>
          <w:tcPr>
            <w:tcW w:w="3369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 w:rsidRPr="0076292F">
              <w:rPr>
                <w:rFonts w:eastAsia="Calibri"/>
                <w:sz w:val="26"/>
                <w:szCs w:val="26"/>
              </w:rPr>
              <w:t xml:space="preserve">ребёнок с ограниченными возможностями здоровья </w:t>
            </w:r>
          </w:p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 w:rsidRPr="0076292F">
              <w:rPr>
                <w:sz w:val="26"/>
                <w:szCs w:val="26"/>
              </w:rPr>
              <w:t xml:space="preserve">для детей с ограниченными возможностями здоровья - копию заключения </w:t>
            </w:r>
            <w:proofErr w:type="spellStart"/>
            <w:r w:rsidRPr="0076292F">
              <w:rPr>
                <w:sz w:val="26"/>
                <w:szCs w:val="26"/>
              </w:rPr>
              <w:t>психолого-медико-педагогической</w:t>
            </w:r>
            <w:proofErr w:type="spellEnd"/>
            <w:r w:rsidRPr="0076292F">
              <w:rPr>
                <w:sz w:val="26"/>
                <w:szCs w:val="26"/>
              </w:rPr>
              <w:t xml:space="preserve"> комиссии и (или) справку образовательной организации, подтверждающей факт получения ребенком дошкольного образования по адаптированной программе дошкольного образования, </w:t>
            </w:r>
            <w:proofErr w:type="gramStart"/>
            <w:r w:rsidRPr="0076292F">
              <w:rPr>
                <w:sz w:val="26"/>
                <w:szCs w:val="26"/>
              </w:rPr>
              <w:t>обучения</w:t>
            </w:r>
            <w:proofErr w:type="gramEnd"/>
            <w:r w:rsidRPr="0076292F">
              <w:rPr>
                <w:sz w:val="26"/>
                <w:szCs w:val="26"/>
              </w:rPr>
              <w:t xml:space="preserve"> ребенка по адаптированной основной общеобразовательной программе, адаптированной программе профессионального обучения, адаптированной образовательной программе среднего профессионального образования;</w:t>
            </w:r>
          </w:p>
        </w:tc>
      </w:tr>
      <w:tr w:rsidR="00AE2030" w:rsidRPr="0076292F" w:rsidTr="00373530">
        <w:tc>
          <w:tcPr>
            <w:tcW w:w="3369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 w:rsidRPr="0076292F">
              <w:rPr>
                <w:rFonts w:eastAsia="Calibri"/>
                <w:sz w:val="26"/>
                <w:szCs w:val="26"/>
              </w:rPr>
              <w:t xml:space="preserve">ребёнок, жизнедеятельность которого объективно нарушена в результате </w:t>
            </w:r>
            <w:r w:rsidRPr="0076292F">
              <w:rPr>
                <w:rFonts w:eastAsia="Calibri"/>
                <w:sz w:val="26"/>
                <w:szCs w:val="26"/>
              </w:rPr>
              <w:lastRenderedPageBreak/>
              <w:t>сложившихся обстоятельств и который не может преодолеть данные обстоятельства самостоятельно или с помощью семьи</w:t>
            </w:r>
          </w:p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 w:rsidR="00AE2030" w:rsidRDefault="00AE2030" w:rsidP="0037353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 Все виды учёта</w:t>
            </w:r>
          </w:p>
          <w:p w:rsidR="00AE2030" w:rsidRDefault="00AE2030" w:rsidP="00373530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AE2030" w:rsidRPr="00191D1A" w:rsidRDefault="00AE2030" w:rsidP="0037353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6"/>
                <w:szCs w:val="26"/>
              </w:rPr>
              <w:t>Ходатайства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91D1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уполномоченный орган по организации отдыха детей их оздоровления с </w:t>
            </w:r>
            <w:r>
              <w:rPr>
                <w:rFonts w:eastAsia="Calibri"/>
                <w:sz w:val="26"/>
                <w:szCs w:val="26"/>
              </w:rPr>
              <w:t>описанием ситуации</w:t>
            </w:r>
          </w:p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E2030" w:rsidRPr="0076292F" w:rsidTr="00373530">
        <w:tc>
          <w:tcPr>
            <w:tcW w:w="3369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r w:rsidRPr="0076292F">
              <w:rPr>
                <w:rFonts w:eastAsia="Calibri"/>
                <w:sz w:val="26"/>
                <w:szCs w:val="26"/>
              </w:rPr>
              <w:lastRenderedPageBreak/>
              <w:t xml:space="preserve">ребёнок-инвалид </w:t>
            </w:r>
          </w:p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76292F">
              <w:rPr>
                <w:sz w:val="26"/>
                <w:szCs w:val="26"/>
              </w:rPr>
              <w:t xml:space="preserve">для детей-инвалидов - копию </w:t>
            </w:r>
            <w:hyperlink r:id="rId6" w:history="1">
              <w:r w:rsidRPr="0076292F">
                <w:rPr>
                  <w:rStyle w:val="a4"/>
                  <w:sz w:val="26"/>
                  <w:szCs w:val="26"/>
                </w:rPr>
                <w:t>справки</w:t>
              </w:r>
            </w:hyperlink>
            <w:r w:rsidRPr="0076292F">
              <w:rPr>
                <w:sz w:val="26"/>
                <w:szCs w:val="26"/>
              </w:rPr>
              <w:t xml:space="preserve"> по форме, утвержденной 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составления", подтверждающей факт установления инвалидности, выданной федеральным государственным учреждением медико-социальной экспертизы;</w:t>
            </w:r>
            <w:proofErr w:type="gramEnd"/>
          </w:p>
        </w:tc>
      </w:tr>
      <w:tr w:rsidR="00AE2030" w:rsidRPr="0076292F" w:rsidTr="00373530">
        <w:tc>
          <w:tcPr>
            <w:tcW w:w="3369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 w:rsidR="00AE2030" w:rsidRPr="0076292F" w:rsidRDefault="00AE2030" w:rsidP="00373530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AE2030" w:rsidRPr="0076292F" w:rsidRDefault="00AE2030" w:rsidP="00AE2030">
      <w:pPr>
        <w:rPr>
          <w:rFonts w:eastAsia="Calibri"/>
          <w:sz w:val="26"/>
          <w:szCs w:val="26"/>
        </w:rPr>
      </w:pPr>
    </w:p>
    <w:p w:rsidR="00AE2030" w:rsidRPr="0076292F" w:rsidRDefault="00AE2030" w:rsidP="00AE2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sz w:val="26"/>
          <w:szCs w:val="26"/>
        </w:rPr>
        <w:t xml:space="preserve">- </w:t>
      </w:r>
    </w:p>
    <w:p w:rsidR="00AE2030" w:rsidRPr="0076292F" w:rsidRDefault="00AE2030" w:rsidP="00AE2030">
      <w:pPr>
        <w:pStyle w:val="1"/>
        <w:shd w:val="clear" w:color="auto" w:fill="auto"/>
        <w:spacing w:before="0" w:line="240" w:lineRule="auto"/>
        <w:ind w:firstLine="689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sz w:val="26"/>
          <w:szCs w:val="26"/>
        </w:rPr>
        <w:t xml:space="preserve">- </w:t>
      </w: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Федеральным законом от 24 июля 1998 года № 124- ФЗ «Об основных гарантиях прав ребёнка в Россий</w:t>
      </w: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ской Федерации к детям находящимся в трудной жизненной ситуации» отнесены следующие катего</w:t>
      </w: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рии: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Дети-сироты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Дети, оставшиеся без попечения родителей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Дети-инвалиды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Дети, проживающие в малоимущих семьях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76292F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>Дети, жизнедеятельность которых объек</w:t>
      </w:r>
      <w:r w:rsidRPr="0076292F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softHyphen/>
        <w:t>тивно нарушена в результате сложившихся обстоятельств и которые не могут преодолеть данные обстоятельства самостоятельно или с помощью семьи (</w:t>
      </w:r>
      <w:r w:rsidRPr="0076292F">
        <w:rPr>
          <w:rFonts w:ascii="Times New Roman" w:eastAsia="Arial Unicode MS" w:hAnsi="Times New Roman" w:cs="Times New Roman"/>
          <w:sz w:val="26"/>
          <w:szCs w:val="26"/>
        </w:rPr>
        <w:t xml:space="preserve">согласно </w:t>
      </w:r>
      <w:hyperlink r:id="rId7" w:history="1">
        <w:r w:rsidRPr="0076292F">
          <w:rPr>
            <w:rFonts w:ascii="Times New Roman" w:eastAsia="Arial Unicode MS" w:hAnsi="Times New Roman" w:cs="Times New Roman"/>
            <w:color w:val="0000FF"/>
            <w:sz w:val="26"/>
            <w:szCs w:val="26"/>
          </w:rPr>
          <w:t>п. 4 ст. 3</w:t>
        </w:r>
      </w:hyperlink>
      <w:r w:rsidRPr="0076292F">
        <w:rPr>
          <w:rFonts w:ascii="Times New Roman" w:eastAsia="Arial Unicode MS" w:hAnsi="Times New Roman" w:cs="Times New Roman"/>
          <w:sz w:val="26"/>
          <w:szCs w:val="26"/>
        </w:rPr>
        <w:t xml:space="preserve"> ФЗ от 10 декабря 1995 г. N 195-ФЗ "Об основах социального обслуживания населения в Российской Федерации" трудной также признается жизненная ситуация, которая объективно нарушает жизнедеятельность гражданина, которую он не может преодолеть самостоятельно.</w:t>
      </w:r>
      <w:proofErr w:type="gramEnd"/>
      <w:r w:rsidRPr="0076292F">
        <w:rPr>
          <w:rFonts w:ascii="Times New Roman" w:eastAsia="Arial Unicode MS" w:hAnsi="Times New Roman" w:cs="Times New Roman"/>
          <w:sz w:val="26"/>
          <w:szCs w:val="26"/>
        </w:rPr>
        <w:t xml:space="preserve"> Кроме безнадзорности, к такой ситуации относятся, в частности, инвалидность, неспособность к самообслуживанию в связи с болезнью, сиротство, </w:t>
      </w:r>
      <w:proofErr w:type="spellStart"/>
      <w:r w:rsidRPr="0076292F">
        <w:rPr>
          <w:rFonts w:ascii="Times New Roman" w:eastAsia="Arial Unicode MS" w:hAnsi="Times New Roman" w:cs="Times New Roman"/>
          <w:i/>
          <w:sz w:val="26"/>
          <w:szCs w:val="26"/>
        </w:rPr>
        <w:t>малообеспеченность</w:t>
      </w:r>
      <w:proofErr w:type="spellEnd"/>
      <w:r w:rsidRPr="0076292F">
        <w:rPr>
          <w:rFonts w:ascii="Times New Roman" w:eastAsia="Arial Unicode MS" w:hAnsi="Times New Roman" w:cs="Times New Roman"/>
          <w:i/>
          <w:sz w:val="26"/>
          <w:szCs w:val="26"/>
        </w:rPr>
        <w:t>, конфликты и жестокое обращение в семье, одиночество и тому подобное.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E2030" w:rsidRPr="0076292F" w:rsidRDefault="00AE2030" w:rsidP="00AE203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E2030" w:rsidRPr="0076292F" w:rsidRDefault="00AE2030" w:rsidP="00AE203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Дети, жертвы вооруженных и межнацио</w:t>
      </w: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нальных конфликтов, экологических и техно</w:t>
      </w: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генных катастроф, стихийных бедствий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 из семей беженцев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 из семей вынужденных переселенцев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Дети, оказавшиеся в экстремальных усло</w:t>
      </w: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виях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Дети, отбывающие наказание в виде лише</w:t>
      </w: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ния свободы в воспитательных колониях</w:t>
      </w:r>
    </w:p>
    <w:p w:rsidR="00AE2030" w:rsidRPr="0076292F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6292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Дети-жертвы насилия</w:t>
      </w:r>
    </w:p>
    <w:p w:rsidR="00AE2030" w:rsidRPr="007E1E43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E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Дети, находящиеся в специальных </w:t>
      </w:r>
      <w:proofErr w:type="spellStart"/>
      <w:proofErr w:type="gramStart"/>
      <w:r w:rsidRPr="007E1E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учебно</w:t>
      </w:r>
      <w:proofErr w:type="spellEnd"/>
      <w:r w:rsidRPr="007E1E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воспитательных</w:t>
      </w:r>
      <w:proofErr w:type="gramEnd"/>
      <w:r w:rsidRPr="007E1E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учреждениях</w:t>
      </w:r>
    </w:p>
    <w:p w:rsidR="00AE2030" w:rsidRPr="007E1E43" w:rsidRDefault="00AE2030" w:rsidP="00AE2030">
      <w:pPr>
        <w:pStyle w:val="3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E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с отклонениями в поведении</w:t>
      </w:r>
    </w:p>
    <w:p w:rsidR="00E75080" w:rsidRDefault="00E75080"/>
    <w:sectPr w:rsidR="00E75080" w:rsidSect="00E7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1378"/>
    <w:multiLevelType w:val="hybridMultilevel"/>
    <w:tmpl w:val="4594C5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D7A74B6"/>
    <w:multiLevelType w:val="hybridMultilevel"/>
    <w:tmpl w:val="87DC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030"/>
    <w:rsid w:val="00727EDF"/>
    <w:rsid w:val="00AE2030"/>
    <w:rsid w:val="00E655ED"/>
    <w:rsid w:val="00E75080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203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AE2030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2030"/>
    <w:rPr>
      <w:rFonts w:ascii="Georgia" w:eastAsia="Georgia" w:hAnsi="Georgia" w:cs="Georgia"/>
      <w:b/>
      <w:bCs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5"/>
    <w:rsid w:val="00AE2030"/>
    <w:pPr>
      <w:widowControl w:val="0"/>
      <w:shd w:val="clear" w:color="auto" w:fill="FFFFFF"/>
      <w:spacing w:before="60" w:line="197" w:lineRule="exact"/>
      <w:jc w:val="both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30">
    <w:name w:val="Основной текст (3)"/>
    <w:basedOn w:val="a"/>
    <w:link w:val="3"/>
    <w:rsid w:val="00AE2030"/>
    <w:pPr>
      <w:widowControl w:val="0"/>
      <w:shd w:val="clear" w:color="auto" w:fill="FFFFFF"/>
      <w:spacing w:line="197" w:lineRule="exact"/>
      <w:jc w:val="both"/>
    </w:pPr>
    <w:rPr>
      <w:rFonts w:ascii="Georgia" w:eastAsia="Georgia" w:hAnsi="Georgia" w:cs="Georgia"/>
      <w:b/>
      <w:bCs/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AB238A05ED1481D0E6997467932E02E0D93E01B4EDE38E832F1D7875BD18D8F6B1636A433D4342HFK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C2F9C22E708538199D66751423174BE8E0D3AB231547B6C569A59F062FD93DB58BA794556587510BX7H" TargetMode="External"/><Relationship Id="rId5" Type="http://schemas.openxmlformats.org/officeDocument/2006/relationships/hyperlink" Target="consultantplus://offline/ref=57C2F9C22E708538199D7878024F494EEFEE8DA32D154AE29A36FEC25126D36AF2C4FED611688653B7B9DA02X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3</cp:lastModifiedBy>
  <cp:revision>2</cp:revision>
  <dcterms:created xsi:type="dcterms:W3CDTF">2019-10-16T12:18:00Z</dcterms:created>
  <dcterms:modified xsi:type="dcterms:W3CDTF">2019-10-16T12:18:00Z</dcterms:modified>
</cp:coreProperties>
</file>